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99F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Adaptive Responses</w:t>
      </w: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Stansbury-Wiles</w:t>
      </w: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Walden University</w:t>
      </w:r>
    </w:p>
    <w:p w:rsidR="007C7928" w:rsidRDefault="007C7928" w:rsidP="007C7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 6501 – Advanced Pathophysiology</w:t>
      </w:r>
    </w:p>
    <w:p w:rsidR="001409AD" w:rsidRDefault="00140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7928" w:rsidRDefault="007C7928" w:rsidP="001409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Adaptive Responses</w:t>
      </w:r>
    </w:p>
    <w:p w:rsidR="007C7928" w:rsidRDefault="001409AD" w:rsidP="007C792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human body is composed of two immune responses: innate and adaptive (</w:t>
      </w:r>
      <w:proofErr w:type="spellStart"/>
      <w:r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2012).  The two immune responses work together to eliminate pathogens in the human body.  Adaptive immune responses are responsible for targeting and destroying specific pathogens</w:t>
      </w:r>
      <w:r w:rsidR="00DF56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56E9"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 w:rsidR="00DF56E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F56E9"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 w:rsidR="00DF56E9">
        <w:rPr>
          <w:rFonts w:ascii="Times New Roman" w:hAnsi="Times New Roman" w:cs="Times New Roman"/>
          <w:sz w:val="24"/>
          <w:szCs w:val="24"/>
        </w:rPr>
        <w:t>, 2012)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C7928">
        <w:rPr>
          <w:rFonts w:ascii="Times New Roman" w:hAnsi="Times New Roman" w:cs="Times New Roman"/>
          <w:sz w:val="24"/>
          <w:szCs w:val="24"/>
        </w:rPr>
        <w:t>The purpose of this paper is t</w:t>
      </w:r>
      <w:r w:rsidR="00DF56E9">
        <w:rPr>
          <w:rFonts w:ascii="Times New Roman" w:hAnsi="Times New Roman" w:cs="Times New Roman"/>
          <w:sz w:val="24"/>
          <w:szCs w:val="24"/>
        </w:rPr>
        <w:t xml:space="preserve">o identify the pathophysiology of the disorders </w:t>
      </w:r>
      <w:r w:rsidR="00FE2581">
        <w:rPr>
          <w:rFonts w:ascii="Times New Roman" w:hAnsi="Times New Roman" w:cs="Times New Roman"/>
          <w:sz w:val="24"/>
          <w:szCs w:val="24"/>
        </w:rPr>
        <w:t xml:space="preserve">described </w:t>
      </w:r>
      <w:r w:rsidR="00DF56E9">
        <w:rPr>
          <w:rFonts w:ascii="Times New Roman" w:hAnsi="Times New Roman" w:cs="Times New Roman"/>
          <w:sz w:val="24"/>
          <w:szCs w:val="24"/>
        </w:rPr>
        <w:t xml:space="preserve">in the scenarios and describe their adaptive responses to the </w:t>
      </w:r>
      <w:r w:rsidR="00C4288F">
        <w:rPr>
          <w:rFonts w:ascii="Times New Roman" w:hAnsi="Times New Roman" w:cs="Times New Roman"/>
          <w:sz w:val="24"/>
          <w:szCs w:val="24"/>
        </w:rPr>
        <w:t xml:space="preserve">pathologic </w:t>
      </w:r>
      <w:r w:rsidR="00DF56E9">
        <w:rPr>
          <w:rFonts w:ascii="Times New Roman" w:hAnsi="Times New Roman" w:cs="Times New Roman"/>
          <w:sz w:val="24"/>
          <w:szCs w:val="24"/>
        </w:rPr>
        <w:t>alterations.</w:t>
      </w:r>
    </w:p>
    <w:p w:rsidR="007C7928" w:rsidRDefault="007C7928" w:rsidP="007C7928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928">
        <w:rPr>
          <w:rFonts w:ascii="Times New Roman" w:hAnsi="Times New Roman" w:cs="Times New Roman"/>
          <w:b/>
          <w:sz w:val="24"/>
          <w:szCs w:val="24"/>
        </w:rPr>
        <w:t xml:space="preserve">Scenario 1: </w:t>
      </w:r>
      <w:r>
        <w:rPr>
          <w:rFonts w:ascii="Times New Roman" w:hAnsi="Times New Roman" w:cs="Times New Roman"/>
          <w:b/>
          <w:sz w:val="24"/>
          <w:szCs w:val="24"/>
        </w:rPr>
        <w:t>Tonsillitis</w:t>
      </w:r>
    </w:p>
    <w:p w:rsidR="00251933" w:rsidRDefault="007C7928" w:rsidP="007C792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child presents with a painful sore throat, swollen tonsils with 4+ edema, swollen anterior cervical lymph nodes, poor appetite, and a fever &gt;101° Fahrenheit.  Without further information, like a throat culture</w:t>
      </w:r>
      <w:r w:rsidR="00251933">
        <w:rPr>
          <w:rFonts w:ascii="Times New Roman" w:hAnsi="Times New Roman" w:cs="Times New Roman"/>
          <w:sz w:val="24"/>
          <w:szCs w:val="24"/>
        </w:rPr>
        <w:t xml:space="preserve"> or the appearance of the throat</w:t>
      </w:r>
      <w:r>
        <w:rPr>
          <w:rFonts w:ascii="Times New Roman" w:hAnsi="Times New Roman" w:cs="Times New Roman"/>
          <w:sz w:val="24"/>
          <w:szCs w:val="24"/>
        </w:rPr>
        <w:t xml:space="preserve">, this would </w:t>
      </w:r>
      <w:r w:rsidR="00251933">
        <w:rPr>
          <w:rFonts w:ascii="Times New Roman" w:hAnsi="Times New Roman" w:cs="Times New Roman"/>
          <w:sz w:val="24"/>
          <w:szCs w:val="24"/>
        </w:rPr>
        <w:t xml:space="preserve">indicate </w:t>
      </w:r>
      <w:r>
        <w:rPr>
          <w:rFonts w:ascii="Times New Roman" w:hAnsi="Times New Roman" w:cs="Times New Roman"/>
          <w:sz w:val="24"/>
          <w:szCs w:val="24"/>
        </w:rPr>
        <w:t>tonsillitis.</w:t>
      </w:r>
    </w:p>
    <w:p w:rsidR="007E5BEE" w:rsidRDefault="00453D27" w:rsidP="007C792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common cause of tonsillitis is group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beta-hemolytic Stre</w:t>
      </w:r>
      <w:r w:rsidR="00963FCA">
        <w:rPr>
          <w:rFonts w:ascii="Times New Roman" w:hAnsi="Times New Roman" w:cs="Times New Roman"/>
          <w:sz w:val="24"/>
          <w:szCs w:val="24"/>
        </w:rPr>
        <w:t>ptococcus pyogenes (GABHS) that enter through the nose and mouth (</w:t>
      </w:r>
      <w:proofErr w:type="spellStart"/>
      <w:r w:rsidR="00963FCA" w:rsidRPr="00963FCA">
        <w:rPr>
          <w:rFonts w:ascii="Times New Roman" w:hAnsi="Times New Roman" w:cs="Times New Roman"/>
          <w:sz w:val="24"/>
          <w:szCs w:val="24"/>
        </w:rPr>
        <w:t>Yildizoglu</w:t>
      </w:r>
      <w:proofErr w:type="spellEnd"/>
      <w:r w:rsidR="00963FCA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).  GABHS adheres to the tonsil epithelium and can be controlled by macrophages in the cells.</w:t>
      </w:r>
      <w:r w:rsidRPr="00453D27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the macrophages are not able to control the GABHS then they release cytokines and the inflammation process starts to occur.  </w:t>
      </w:r>
      <w:r w:rsidR="00D46119">
        <w:rPr>
          <w:rFonts w:ascii="Times New Roman" w:hAnsi="Times New Roman" w:cs="Times New Roman"/>
          <w:sz w:val="24"/>
          <w:szCs w:val="24"/>
        </w:rPr>
        <w:t xml:space="preserve"> </w:t>
      </w:r>
      <w:r w:rsidR="00767021">
        <w:rPr>
          <w:rFonts w:ascii="Times New Roman" w:hAnsi="Times New Roman" w:cs="Times New Roman"/>
          <w:sz w:val="24"/>
          <w:szCs w:val="24"/>
        </w:rPr>
        <w:t xml:space="preserve">Inflammatory changes in the tonsils include vasodilation and increased capillary permeability which present clinically as </w:t>
      </w:r>
      <w:r w:rsidR="007E5BEE">
        <w:rPr>
          <w:rFonts w:ascii="Times New Roman" w:hAnsi="Times New Roman" w:cs="Times New Roman"/>
          <w:sz w:val="24"/>
          <w:szCs w:val="24"/>
        </w:rPr>
        <w:t>tonsillar exudate, fever, and a sore throat (McPhee &amp; Hammer, 2010).  Tender and enlarged lymph nodes occur because these nodes filter or trap foreign particles that enter the body (</w:t>
      </w:r>
      <w:proofErr w:type="spellStart"/>
      <w:r w:rsidR="007E5BEE" w:rsidRPr="007E5BEE">
        <w:rPr>
          <w:rFonts w:ascii="Times New Roman" w:hAnsi="Times New Roman" w:cs="Times New Roman"/>
          <w:sz w:val="24"/>
          <w:szCs w:val="24"/>
        </w:rPr>
        <w:t>Yildizoglu</w:t>
      </w:r>
      <w:proofErr w:type="spellEnd"/>
      <w:r w:rsidR="007E5BEE" w:rsidRPr="007E5BEE">
        <w:rPr>
          <w:rFonts w:ascii="Times New Roman" w:hAnsi="Times New Roman" w:cs="Times New Roman"/>
          <w:sz w:val="24"/>
          <w:szCs w:val="24"/>
        </w:rPr>
        <w:t>, 2015</w:t>
      </w:r>
      <w:r w:rsidR="007E5BEE">
        <w:rPr>
          <w:rFonts w:ascii="Times New Roman" w:hAnsi="Times New Roman" w:cs="Times New Roman"/>
          <w:sz w:val="24"/>
          <w:szCs w:val="24"/>
        </w:rPr>
        <w:t>).</w:t>
      </w:r>
    </w:p>
    <w:p w:rsidR="00251933" w:rsidRDefault="00251933" w:rsidP="00D46119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33">
        <w:rPr>
          <w:rFonts w:ascii="Times New Roman" w:hAnsi="Times New Roman" w:cs="Times New Roman"/>
          <w:b/>
          <w:sz w:val="24"/>
          <w:szCs w:val="24"/>
        </w:rPr>
        <w:t>Scenario 2: Irritant Contact Dermatitis</w:t>
      </w:r>
    </w:p>
    <w:p w:rsidR="00584431" w:rsidRDefault="00251933" w:rsidP="0058443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Irritant Contact Dermatitis (ICD)</w:t>
      </w:r>
      <w:r w:rsidR="00D55FBE">
        <w:rPr>
          <w:rFonts w:ascii="Times New Roman" w:hAnsi="Times New Roman" w:cs="Times New Roman"/>
          <w:sz w:val="24"/>
          <w:szCs w:val="24"/>
        </w:rPr>
        <w:t xml:space="preserve"> is a non-specific response of the skin to direct contact of an irritant</w:t>
      </w:r>
      <w:r w:rsidR="007E5BEE">
        <w:rPr>
          <w:rFonts w:ascii="Times New Roman" w:hAnsi="Times New Roman" w:cs="Times New Roman"/>
          <w:sz w:val="24"/>
          <w:szCs w:val="24"/>
        </w:rPr>
        <w:t xml:space="preserve"> (McPhee &amp; Hammer, 2010)</w:t>
      </w:r>
      <w:r w:rsidR="00D55FBE">
        <w:rPr>
          <w:rFonts w:ascii="Times New Roman" w:hAnsi="Times New Roman" w:cs="Times New Roman"/>
          <w:sz w:val="24"/>
          <w:szCs w:val="24"/>
        </w:rPr>
        <w:t xml:space="preserve">.  </w:t>
      </w:r>
      <w:r w:rsidR="00D46087">
        <w:rPr>
          <w:rFonts w:ascii="Times New Roman" w:hAnsi="Times New Roman" w:cs="Times New Roman"/>
          <w:sz w:val="24"/>
          <w:szCs w:val="24"/>
        </w:rPr>
        <w:t>E</w:t>
      </w:r>
      <w:r w:rsidR="00584431">
        <w:rPr>
          <w:rFonts w:ascii="Times New Roman" w:hAnsi="Times New Roman" w:cs="Times New Roman"/>
          <w:sz w:val="24"/>
          <w:szCs w:val="24"/>
        </w:rPr>
        <w:t xml:space="preserve">xposure to </w:t>
      </w:r>
      <w:r w:rsidR="00FE2581">
        <w:rPr>
          <w:rFonts w:ascii="Times New Roman" w:hAnsi="Times New Roman" w:cs="Times New Roman"/>
          <w:sz w:val="24"/>
          <w:szCs w:val="24"/>
        </w:rPr>
        <w:t>chemicals causes damage to</w:t>
      </w:r>
      <w:r w:rsidR="00584431">
        <w:rPr>
          <w:rFonts w:ascii="Times New Roman" w:hAnsi="Times New Roman" w:cs="Times New Roman"/>
          <w:sz w:val="24"/>
          <w:szCs w:val="24"/>
        </w:rPr>
        <w:t xml:space="preserve"> the epidermis and trigger</w:t>
      </w:r>
      <w:r w:rsidR="00FE2581">
        <w:rPr>
          <w:rFonts w:ascii="Times New Roman" w:hAnsi="Times New Roman" w:cs="Times New Roman"/>
          <w:sz w:val="24"/>
          <w:szCs w:val="24"/>
        </w:rPr>
        <w:t>s</w:t>
      </w:r>
      <w:r w:rsidR="00584431">
        <w:rPr>
          <w:rFonts w:ascii="Times New Roman" w:hAnsi="Times New Roman" w:cs="Times New Roman"/>
          <w:sz w:val="24"/>
          <w:szCs w:val="24"/>
        </w:rPr>
        <w:t xml:space="preserve"> a release of </w:t>
      </w:r>
      <w:r w:rsidR="00584431" w:rsidRPr="00584431">
        <w:rPr>
          <w:rFonts w:ascii="Times New Roman" w:hAnsi="Times New Roman" w:cs="Times New Roman"/>
          <w:sz w:val="24"/>
          <w:szCs w:val="24"/>
        </w:rPr>
        <w:t>inte</w:t>
      </w:r>
      <w:r w:rsidR="00FE2581">
        <w:rPr>
          <w:rFonts w:ascii="Times New Roman" w:hAnsi="Times New Roman" w:cs="Times New Roman"/>
          <w:sz w:val="24"/>
          <w:szCs w:val="24"/>
        </w:rPr>
        <w:t xml:space="preserve">rleukin 1, 6, 8 as well as </w:t>
      </w:r>
      <w:r w:rsidR="00D46087">
        <w:rPr>
          <w:rFonts w:ascii="Times New Roman" w:hAnsi="Times New Roman" w:cs="Times New Roman"/>
          <w:sz w:val="24"/>
          <w:szCs w:val="24"/>
        </w:rPr>
        <w:t xml:space="preserve">a </w:t>
      </w:r>
      <w:r w:rsidR="00584431" w:rsidRPr="00584431">
        <w:rPr>
          <w:rFonts w:ascii="Times New Roman" w:hAnsi="Times New Roman" w:cs="Times New Roman"/>
          <w:sz w:val="24"/>
          <w:szCs w:val="24"/>
        </w:rPr>
        <w:t xml:space="preserve">tumor necrosis factor (Simon, </w:t>
      </w:r>
      <w:proofErr w:type="spellStart"/>
      <w:r w:rsidR="00584431" w:rsidRPr="00584431">
        <w:rPr>
          <w:rFonts w:ascii="Times New Roman" w:hAnsi="Times New Roman" w:cs="Times New Roman"/>
          <w:sz w:val="24"/>
          <w:szCs w:val="24"/>
        </w:rPr>
        <w:lastRenderedPageBreak/>
        <w:t>Aeberhard</w:t>
      </w:r>
      <w:proofErr w:type="spellEnd"/>
      <w:r w:rsidR="00584431" w:rsidRPr="00584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431" w:rsidRPr="00584431">
        <w:rPr>
          <w:rFonts w:ascii="Times New Roman" w:hAnsi="Times New Roman" w:cs="Times New Roman"/>
          <w:sz w:val="24"/>
          <w:szCs w:val="24"/>
        </w:rPr>
        <w:t>Erdemoglu</w:t>
      </w:r>
      <w:proofErr w:type="spellEnd"/>
      <w:r w:rsidR="00584431" w:rsidRPr="00584431">
        <w:rPr>
          <w:rFonts w:ascii="Times New Roman" w:hAnsi="Times New Roman" w:cs="Times New Roman"/>
          <w:sz w:val="24"/>
          <w:szCs w:val="24"/>
        </w:rPr>
        <w:t xml:space="preserve">, </w:t>
      </w:r>
      <w:r w:rsidR="00584431">
        <w:rPr>
          <w:rFonts w:ascii="Times New Roman" w:hAnsi="Times New Roman" w:cs="Times New Roman"/>
          <w:sz w:val="24"/>
          <w:szCs w:val="24"/>
        </w:rPr>
        <w:t xml:space="preserve">&amp; </w:t>
      </w:r>
      <w:r w:rsidR="00584431" w:rsidRPr="00584431">
        <w:rPr>
          <w:rFonts w:ascii="Times New Roman" w:hAnsi="Times New Roman" w:cs="Times New Roman"/>
          <w:sz w:val="24"/>
          <w:szCs w:val="24"/>
        </w:rPr>
        <w:t>Simon, 2014).</w:t>
      </w:r>
      <w:r w:rsidR="00584431">
        <w:rPr>
          <w:rFonts w:ascii="Times New Roman" w:hAnsi="Times New Roman" w:cs="Times New Roman"/>
          <w:sz w:val="24"/>
          <w:szCs w:val="24"/>
        </w:rPr>
        <w:t xml:space="preserve">  This release results in the inflammation process which clinically presents as irritated, cracked, and </w:t>
      </w:r>
      <w:r w:rsidR="00FE2581">
        <w:rPr>
          <w:rFonts w:ascii="Times New Roman" w:hAnsi="Times New Roman" w:cs="Times New Roman"/>
          <w:sz w:val="24"/>
          <w:szCs w:val="24"/>
        </w:rPr>
        <w:t>reddened</w:t>
      </w:r>
      <w:r w:rsidR="00584431">
        <w:rPr>
          <w:rFonts w:ascii="Times New Roman" w:hAnsi="Times New Roman" w:cs="Times New Roman"/>
          <w:sz w:val="24"/>
          <w:szCs w:val="24"/>
        </w:rPr>
        <w:t xml:space="preserve"> derm</w:t>
      </w:r>
      <w:bookmarkStart w:id="0" w:name="_GoBack"/>
      <w:bookmarkEnd w:id="0"/>
      <w:r w:rsidR="00584431">
        <w:rPr>
          <w:rFonts w:ascii="Times New Roman" w:hAnsi="Times New Roman" w:cs="Times New Roman"/>
          <w:sz w:val="24"/>
          <w:szCs w:val="24"/>
        </w:rPr>
        <w:t>is (</w:t>
      </w:r>
      <w:proofErr w:type="spellStart"/>
      <w:r w:rsidR="00584431" w:rsidRPr="00584431"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 w:rsidR="00584431" w:rsidRPr="0058443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84431" w:rsidRPr="00584431"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 w:rsidR="00584431" w:rsidRPr="00584431">
        <w:rPr>
          <w:rFonts w:ascii="Times New Roman" w:hAnsi="Times New Roman" w:cs="Times New Roman"/>
          <w:sz w:val="24"/>
          <w:szCs w:val="24"/>
        </w:rPr>
        <w:t>, 2012</w:t>
      </w:r>
      <w:r w:rsidR="00584431">
        <w:rPr>
          <w:rFonts w:ascii="Times New Roman" w:hAnsi="Times New Roman" w:cs="Times New Roman"/>
          <w:sz w:val="24"/>
          <w:szCs w:val="24"/>
        </w:rPr>
        <w:t>).</w:t>
      </w:r>
    </w:p>
    <w:p w:rsidR="00251933" w:rsidRDefault="00251933" w:rsidP="00584431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33">
        <w:rPr>
          <w:rFonts w:ascii="Times New Roman" w:hAnsi="Times New Roman" w:cs="Times New Roman"/>
          <w:b/>
          <w:sz w:val="24"/>
          <w:szCs w:val="24"/>
        </w:rPr>
        <w:t xml:space="preserve">Scenario 3: </w:t>
      </w:r>
      <w:r w:rsidR="0012714D">
        <w:rPr>
          <w:rFonts w:ascii="Times New Roman" w:hAnsi="Times New Roman" w:cs="Times New Roman"/>
          <w:b/>
          <w:sz w:val="24"/>
          <w:szCs w:val="24"/>
        </w:rPr>
        <w:t>Stress Response</w:t>
      </w:r>
    </w:p>
    <w:p w:rsidR="00CD10E3" w:rsidRDefault="00C65605" w:rsidP="001271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Case three depicts someone experiencing a stress response which results in an increased secretion of</w:t>
      </w:r>
      <w:r w:rsidR="00CD10E3">
        <w:rPr>
          <w:rFonts w:ascii="Times New Roman" w:hAnsi="Times New Roman" w:cs="Times New Roman"/>
          <w:sz w:val="24"/>
          <w:szCs w:val="24"/>
        </w:rPr>
        <w:t xml:space="preserve"> glucocorticoids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0E3">
        <w:rPr>
          <w:rFonts w:ascii="Times New Roman" w:hAnsi="Times New Roman" w:cs="Times New Roman"/>
          <w:sz w:val="24"/>
          <w:szCs w:val="24"/>
        </w:rPr>
        <w:t>(cortisol and anti-inflammatory cytokines)</w:t>
      </w:r>
      <w:r w:rsidR="005D6C98">
        <w:rPr>
          <w:rFonts w:ascii="Times New Roman" w:hAnsi="Times New Roman" w:cs="Times New Roman"/>
          <w:sz w:val="24"/>
          <w:szCs w:val="24"/>
        </w:rPr>
        <w:t xml:space="preserve"> from the hypothalamic pituitary adrenal axis</w:t>
      </w:r>
      <w:r w:rsidR="00CD10E3">
        <w:rPr>
          <w:rFonts w:ascii="Times New Roman" w:hAnsi="Times New Roman" w:cs="Times New Roman"/>
          <w:sz w:val="24"/>
          <w:szCs w:val="24"/>
        </w:rPr>
        <w:t xml:space="preserve"> (HPA)</w:t>
      </w:r>
      <w:r w:rsidR="005D6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2012).  </w:t>
      </w:r>
      <w:r w:rsidR="00CD10E3">
        <w:rPr>
          <w:rFonts w:ascii="Times New Roman" w:hAnsi="Times New Roman" w:cs="Times New Roman"/>
          <w:sz w:val="24"/>
          <w:szCs w:val="24"/>
        </w:rPr>
        <w:t>The HPA works as an adaptive system to maintain equilibrium in a changing environment (</w:t>
      </w:r>
      <w:proofErr w:type="spellStart"/>
      <w:r w:rsidR="00CD10E3">
        <w:rPr>
          <w:rFonts w:ascii="Times New Roman" w:hAnsi="Times New Roman" w:cs="Times New Roman"/>
          <w:sz w:val="24"/>
          <w:szCs w:val="24"/>
        </w:rPr>
        <w:t>Wolkow</w:t>
      </w:r>
      <w:proofErr w:type="spellEnd"/>
      <w:r w:rsidR="00CD10E3">
        <w:rPr>
          <w:rFonts w:ascii="Times New Roman" w:hAnsi="Times New Roman" w:cs="Times New Roman"/>
          <w:sz w:val="24"/>
          <w:szCs w:val="24"/>
        </w:rPr>
        <w:t xml:space="preserve">, Ferguson, </w:t>
      </w:r>
      <w:proofErr w:type="spellStart"/>
      <w:r w:rsidR="00CD10E3">
        <w:rPr>
          <w:rFonts w:ascii="Times New Roman" w:hAnsi="Times New Roman" w:cs="Times New Roman"/>
          <w:sz w:val="24"/>
          <w:szCs w:val="24"/>
        </w:rPr>
        <w:t>Aisbett</w:t>
      </w:r>
      <w:proofErr w:type="spellEnd"/>
      <w:r w:rsidR="00CD10E3">
        <w:rPr>
          <w:rFonts w:ascii="Times New Roman" w:hAnsi="Times New Roman" w:cs="Times New Roman"/>
          <w:sz w:val="24"/>
          <w:szCs w:val="24"/>
        </w:rPr>
        <w:t xml:space="preserve">, &amp; Main, 2015).  </w:t>
      </w:r>
      <w:r w:rsidR="00767021">
        <w:rPr>
          <w:rFonts w:ascii="Times New Roman" w:hAnsi="Times New Roman" w:cs="Times New Roman"/>
          <w:sz w:val="24"/>
          <w:szCs w:val="24"/>
        </w:rPr>
        <w:t>Glucocorticoids</w:t>
      </w:r>
      <w:r>
        <w:rPr>
          <w:rFonts w:ascii="Times New Roman" w:hAnsi="Times New Roman" w:cs="Times New Roman"/>
          <w:sz w:val="24"/>
          <w:szCs w:val="24"/>
        </w:rPr>
        <w:t xml:space="preserve"> control</w:t>
      </w:r>
      <w:r w:rsidR="0012714D">
        <w:rPr>
          <w:rFonts w:ascii="Times New Roman" w:hAnsi="Times New Roman" w:cs="Times New Roman"/>
          <w:sz w:val="24"/>
          <w:szCs w:val="24"/>
        </w:rPr>
        <w:t xml:space="preserve"> many functions of the central nervous system including: arousal, cognition, sleep, mood,</w:t>
      </w:r>
      <w:r>
        <w:rPr>
          <w:rFonts w:ascii="Times New Roman" w:hAnsi="Times New Roman" w:cs="Times New Roman"/>
          <w:sz w:val="24"/>
          <w:szCs w:val="24"/>
        </w:rPr>
        <w:t xml:space="preserve"> and cardiovascular t</w:t>
      </w:r>
      <w:r w:rsidR="005D6C98">
        <w:rPr>
          <w:rFonts w:ascii="Times New Roman" w:hAnsi="Times New Roman" w:cs="Times New Roman"/>
          <w:sz w:val="24"/>
          <w:szCs w:val="24"/>
        </w:rPr>
        <w:t>one (</w:t>
      </w:r>
      <w:proofErr w:type="spellStart"/>
      <w:r w:rsidR="005D6C98"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 w:rsidR="005D6C9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D6C98"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 w:rsidR="005D6C98">
        <w:rPr>
          <w:rFonts w:ascii="Times New Roman" w:hAnsi="Times New Roman" w:cs="Times New Roman"/>
          <w:sz w:val="24"/>
          <w:szCs w:val="24"/>
        </w:rPr>
        <w:t xml:space="preserve">, 2012).  </w:t>
      </w:r>
      <w:r w:rsidR="00CD10E3">
        <w:rPr>
          <w:rFonts w:ascii="Times New Roman" w:hAnsi="Times New Roman" w:cs="Times New Roman"/>
          <w:sz w:val="24"/>
          <w:szCs w:val="24"/>
        </w:rPr>
        <w:t>Ther</w:t>
      </w:r>
      <w:r w:rsidR="00767021">
        <w:rPr>
          <w:rFonts w:ascii="Times New Roman" w:hAnsi="Times New Roman" w:cs="Times New Roman"/>
          <w:sz w:val="24"/>
          <w:szCs w:val="24"/>
        </w:rPr>
        <w:t>efore an increase in glucocorticoids during the stress response results in adaptive changes so that body can respond to the environmental change.</w:t>
      </w:r>
      <w:r w:rsidR="00C4288F">
        <w:rPr>
          <w:rFonts w:ascii="Times New Roman" w:hAnsi="Times New Roman" w:cs="Times New Roman"/>
          <w:sz w:val="24"/>
          <w:szCs w:val="24"/>
        </w:rPr>
        <w:t xml:space="preserve">  Adaptive responses noted in this scenario included changes in her sleep, her appetite, and a “racing” heart.</w:t>
      </w:r>
    </w:p>
    <w:p w:rsidR="003E3834" w:rsidRPr="003E3834" w:rsidRDefault="003E3834" w:rsidP="003E3834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834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12714D" w:rsidRPr="00584431" w:rsidRDefault="00767021" w:rsidP="0012714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88F">
        <w:rPr>
          <w:rFonts w:ascii="Times New Roman" w:hAnsi="Times New Roman" w:cs="Times New Roman"/>
          <w:sz w:val="24"/>
          <w:szCs w:val="24"/>
        </w:rPr>
        <w:t xml:space="preserve">Humans would not be able to survive without innate and adaptive immune responses.  These initial responses start without human cognizance.  The purpose of this paper was to </w:t>
      </w:r>
      <w:r w:rsidR="00C4288F" w:rsidRPr="00C4288F">
        <w:rPr>
          <w:rFonts w:ascii="Times New Roman" w:hAnsi="Times New Roman" w:cs="Times New Roman"/>
          <w:sz w:val="24"/>
          <w:szCs w:val="24"/>
        </w:rPr>
        <w:t xml:space="preserve">identify the pathophysiology of the disorders in the </w:t>
      </w:r>
      <w:r w:rsidR="00C4288F">
        <w:rPr>
          <w:rFonts w:ascii="Times New Roman" w:hAnsi="Times New Roman" w:cs="Times New Roman"/>
          <w:sz w:val="24"/>
          <w:szCs w:val="24"/>
        </w:rPr>
        <w:t xml:space="preserve">presented </w:t>
      </w:r>
      <w:r w:rsidR="00C4288F" w:rsidRPr="00C4288F">
        <w:rPr>
          <w:rFonts w:ascii="Times New Roman" w:hAnsi="Times New Roman" w:cs="Times New Roman"/>
          <w:sz w:val="24"/>
          <w:szCs w:val="24"/>
        </w:rPr>
        <w:t>scenarios and describe their adaptive responses to the</w:t>
      </w:r>
      <w:r w:rsidR="006C3395">
        <w:rPr>
          <w:rFonts w:ascii="Times New Roman" w:hAnsi="Times New Roman" w:cs="Times New Roman"/>
          <w:sz w:val="24"/>
          <w:szCs w:val="24"/>
        </w:rPr>
        <w:t xml:space="preserve"> pathophysiological</w:t>
      </w:r>
      <w:r w:rsidR="00C4288F" w:rsidRPr="00C4288F">
        <w:rPr>
          <w:rFonts w:ascii="Times New Roman" w:hAnsi="Times New Roman" w:cs="Times New Roman"/>
          <w:sz w:val="24"/>
          <w:szCs w:val="24"/>
        </w:rPr>
        <w:t xml:space="preserve"> alterations.</w:t>
      </w:r>
      <w:r w:rsidR="00C4288F">
        <w:rPr>
          <w:rFonts w:ascii="Times New Roman" w:hAnsi="Times New Roman" w:cs="Times New Roman"/>
          <w:sz w:val="24"/>
          <w:szCs w:val="24"/>
        </w:rPr>
        <w:t xml:space="preserve">  This was done by </w:t>
      </w:r>
      <w:r w:rsidR="006C3395">
        <w:rPr>
          <w:rFonts w:ascii="Times New Roman" w:hAnsi="Times New Roman" w:cs="Times New Roman"/>
          <w:sz w:val="24"/>
          <w:szCs w:val="24"/>
        </w:rPr>
        <w:t>examining the clinical presentation of each scenario and researching the pathophysiological changes that occur.</w:t>
      </w:r>
      <w:r w:rsidR="009B4D58">
        <w:rPr>
          <w:rFonts w:ascii="Times New Roman" w:hAnsi="Times New Roman" w:cs="Times New Roman"/>
          <w:sz w:val="24"/>
          <w:szCs w:val="24"/>
        </w:rPr>
        <w:t xml:space="preserve">  In addition, this paper described the adaptive responses that followed the pathophysiological changes.  Mid-level providers must be aware of human adaptive responses because they are signs and symptoms of changes or underlying issues within the body.</w:t>
      </w:r>
    </w:p>
    <w:p w:rsidR="00DF56E9" w:rsidRDefault="00DF56E9">
      <w:pPr>
        <w:rPr>
          <w:rFonts w:ascii="Times New Roman" w:hAnsi="Times New Roman" w:cs="Times New Roman"/>
          <w:sz w:val="24"/>
          <w:szCs w:val="24"/>
        </w:rPr>
      </w:pPr>
    </w:p>
    <w:p w:rsidR="0012714D" w:rsidRDefault="0012714D">
      <w:pPr>
        <w:rPr>
          <w:rFonts w:ascii="Times New Roman" w:hAnsi="Times New Roman" w:cs="Times New Roman"/>
          <w:sz w:val="24"/>
          <w:szCs w:val="24"/>
        </w:rPr>
      </w:pPr>
    </w:p>
    <w:p w:rsidR="001C1912" w:rsidRDefault="001C1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1912" w:rsidRPr="001C1912" w:rsidRDefault="00921FBA" w:rsidP="001C1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3600" cy="4804661"/>
            <wp:effectExtent l="0" t="0" r="0" b="0"/>
            <wp:docPr id="2" name="Picture 2" descr="C:\Users\EBSTansbury\Downloads\text2mindma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STansbury\Downloads\text2mindmap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0C3" w:rsidRPr="00164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0C3" w:rsidRDefault="00164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3D27" w:rsidRDefault="00453D27" w:rsidP="0025193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C41FD8" w:rsidRPr="00C41FD8" w:rsidRDefault="00C41FD8" w:rsidP="00C41FD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1FD8">
        <w:rPr>
          <w:rFonts w:ascii="Times New Roman" w:hAnsi="Times New Roman" w:cs="Times New Roman"/>
          <w:sz w:val="24"/>
          <w:szCs w:val="24"/>
        </w:rPr>
        <w:t>Huether</w:t>
      </w:r>
      <w:proofErr w:type="spellEnd"/>
      <w:r w:rsidRPr="00C41FD8">
        <w:rPr>
          <w:rFonts w:ascii="Times New Roman" w:hAnsi="Times New Roman" w:cs="Times New Roman"/>
          <w:sz w:val="24"/>
          <w:szCs w:val="24"/>
        </w:rPr>
        <w:t xml:space="preserve">, S. E., &amp; </w:t>
      </w:r>
      <w:proofErr w:type="spellStart"/>
      <w:r w:rsidRPr="00C41FD8">
        <w:rPr>
          <w:rFonts w:ascii="Times New Roman" w:hAnsi="Times New Roman" w:cs="Times New Roman"/>
          <w:sz w:val="24"/>
          <w:szCs w:val="24"/>
        </w:rPr>
        <w:t>McCance</w:t>
      </w:r>
      <w:proofErr w:type="spellEnd"/>
      <w:r w:rsidRPr="00C41FD8">
        <w:rPr>
          <w:rFonts w:ascii="Times New Roman" w:hAnsi="Times New Roman" w:cs="Times New Roman"/>
          <w:sz w:val="24"/>
          <w:szCs w:val="24"/>
        </w:rPr>
        <w:t>, K. L. (2012).</w:t>
      </w:r>
      <w:proofErr w:type="gramEnd"/>
      <w:r w:rsidRPr="00C41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FD8">
        <w:rPr>
          <w:rFonts w:ascii="Times New Roman" w:hAnsi="Times New Roman" w:cs="Times New Roman"/>
          <w:i/>
          <w:sz w:val="24"/>
          <w:szCs w:val="24"/>
        </w:rPr>
        <w:t>Understanding pathophysiology</w:t>
      </w:r>
      <w:r w:rsidRPr="00C41FD8">
        <w:rPr>
          <w:rFonts w:ascii="Times New Roman" w:hAnsi="Times New Roman" w:cs="Times New Roman"/>
          <w:sz w:val="24"/>
          <w:szCs w:val="24"/>
        </w:rPr>
        <w:t xml:space="preserve"> (Laureate </w:t>
      </w:r>
      <w:proofErr w:type="spellStart"/>
      <w:r w:rsidRPr="00C41FD8">
        <w:rPr>
          <w:rFonts w:ascii="Times New Roman" w:hAnsi="Times New Roman" w:cs="Times New Roman"/>
          <w:sz w:val="24"/>
          <w:szCs w:val="24"/>
        </w:rPr>
        <w:t>customed</w:t>
      </w:r>
      <w:proofErr w:type="spellEnd"/>
      <w:r w:rsidRPr="00C41FD8">
        <w:rPr>
          <w:rFonts w:ascii="Times New Roman" w:hAnsi="Times New Roman" w:cs="Times New Roman"/>
          <w:sz w:val="24"/>
          <w:szCs w:val="24"/>
        </w:rPr>
        <w:t>.).</w:t>
      </w:r>
      <w:proofErr w:type="gramEnd"/>
    </w:p>
    <w:p w:rsidR="00C41FD8" w:rsidRDefault="00C41FD8" w:rsidP="00DF56E9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41FD8">
        <w:rPr>
          <w:rFonts w:ascii="Times New Roman" w:hAnsi="Times New Roman" w:cs="Times New Roman"/>
          <w:sz w:val="24"/>
          <w:szCs w:val="24"/>
        </w:rPr>
        <w:t>St. Louis, MO: Mosby.</w:t>
      </w:r>
    </w:p>
    <w:p w:rsidR="00C41FD8" w:rsidRPr="00C41FD8" w:rsidRDefault="00C41FD8" w:rsidP="00453D27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1FD8">
        <w:rPr>
          <w:rFonts w:ascii="Times New Roman" w:hAnsi="Times New Roman" w:cs="Times New Roman"/>
          <w:sz w:val="24"/>
          <w:szCs w:val="24"/>
        </w:rPr>
        <w:t xml:space="preserve">McPhee, S. and Hammer, G. (2010). </w:t>
      </w:r>
      <w:r w:rsidRPr="00C41FD8">
        <w:rPr>
          <w:rFonts w:ascii="Times New Roman" w:hAnsi="Times New Roman" w:cs="Times New Roman"/>
          <w:i/>
          <w:sz w:val="24"/>
          <w:szCs w:val="24"/>
        </w:rPr>
        <w:t xml:space="preserve">Pathophysiology of disease: An introduction to clinical </w:t>
      </w:r>
    </w:p>
    <w:p w:rsidR="00453D27" w:rsidRDefault="00C41FD8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1FD8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C41FD8">
        <w:rPr>
          <w:rFonts w:ascii="Times New Roman" w:hAnsi="Times New Roman" w:cs="Times New Roman"/>
          <w:i/>
          <w:sz w:val="24"/>
          <w:szCs w:val="24"/>
        </w:rPr>
        <w:t>medicine</w:t>
      </w:r>
      <w:proofErr w:type="gramEnd"/>
      <w:r w:rsidRPr="00C41F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1FD8">
        <w:rPr>
          <w:rFonts w:ascii="Times New Roman" w:hAnsi="Times New Roman" w:cs="Times New Roman"/>
          <w:sz w:val="24"/>
          <w:szCs w:val="24"/>
        </w:rPr>
        <w:t>(Laureate Education, Inc., custom ed.). New York, NY: McGraw-Hill Medical.</w:t>
      </w:r>
    </w:p>
    <w:p w:rsidR="00584431" w:rsidRDefault="00584431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84431">
        <w:rPr>
          <w:rFonts w:ascii="Times New Roman" w:hAnsi="Times New Roman" w:cs="Times New Roman"/>
          <w:sz w:val="24"/>
          <w:szCs w:val="24"/>
        </w:rPr>
        <w:t xml:space="preserve">Simon, D., </w:t>
      </w:r>
      <w:proofErr w:type="spellStart"/>
      <w:r w:rsidRPr="00584431">
        <w:rPr>
          <w:rFonts w:ascii="Times New Roman" w:hAnsi="Times New Roman" w:cs="Times New Roman"/>
          <w:sz w:val="24"/>
          <w:szCs w:val="24"/>
        </w:rPr>
        <w:t>Aeberhard</w:t>
      </w:r>
      <w:proofErr w:type="spellEnd"/>
      <w:r w:rsidRPr="00584431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84431">
        <w:rPr>
          <w:rFonts w:ascii="Times New Roman" w:hAnsi="Times New Roman" w:cs="Times New Roman"/>
          <w:sz w:val="24"/>
          <w:szCs w:val="24"/>
        </w:rPr>
        <w:t>Erdemoglu</w:t>
      </w:r>
      <w:proofErr w:type="spellEnd"/>
      <w:r w:rsidRPr="00584431">
        <w:rPr>
          <w:rFonts w:ascii="Times New Roman" w:hAnsi="Times New Roman" w:cs="Times New Roman"/>
          <w:sz w:val="24"/>
          <w:szCs w:val="24"/>
        </w:rPr>
        <w:t>, Y., &amp; Simon, H. (2014).</w:t>
      </w:r>
      <w:proofErr w:type="gramEnd"/>
      <w:r w:rsidRPr="00584431">
        <w:rPr>
          <w:rFonts w:ascii="Times New Roman" w:hAnsi="Times New Roman" w:cs="Times New Roman"/>
          <w:sz w:val="24"/>
          <w:szCs w:val="24"/>
        </w:rPr>
        <w:t xml:space="preserve"> Th17 cells and tissue remodeling </w:t>
      </w:r>
    </w:p>
    <w:p w:rsidR="00584431" w:rsidRDefault="00584431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443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84431">
        <w:rPr>
          <w:rFonts w:ascii="Times New Roman" w:hAnsi="Times New Roman" w:cs="Times New Roman"/>
          <w:sz w:val="24"/>
          <w:szCs w:val="24"/>
        </w:rPr>
        <w:t xml:space="preserve"> atopic and contact dermatitis. </w:t>
      </w:r>
      <w:r w:rsidRPr="00584431">
        <w:rPr>
          <w:rFonts w:ascii="Times New Roman" w:hAnsi="Times New Roman" w:cs="Times New Roman"/>
          <w:i/>
          <w:sz w:val="24"/>
          <w:szCs w:val="24"/>
        </w:rPr>
        <w:t>Allergy, 69</w:t>
      </w:r>
      <w:r w:rsidRPr="00584431">
        <w:rPr>
          <w:rFonts w:ascii="Times New Roman" w:hAnsi="Times New Roman" w:cs="Times New Roman"/>
          <w:sz w:val="24"/>
          <w:szCs w:val="24"/>
        </w:rPr>
        <w:t>(1), 125-131. doi:10.1111/all.12351</w:t>
      </w:r>
    </w:p>
    <w:p w:rsidR="005D6C98" w:rsidRDefault="005D6C98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Wolkow</w:t>
      </w:r>
      <w:proofErr w:type="spellEnd"/>
      <w:r>
        <w:rPr>
          <w:rFonts w:ascii="Times New Roman" w:hAnsi="Times New Roman" w:cs="Times New Roman"/>
          <w:sz w:val="24"/>
          <w:szCs w:val="24"/>
        </w:rPr>
        <w:t>, A., Ferguson</w:t>
      </w:r>
      <w:r w:rsidRPr="005D6C9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5D6C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isbett</w:t>
      </w:r>
      <w:proofErr w:type="spellEnd"/>
      <w:r>
        <w:rPr>
          <w:rFonts w:ascii="Times New Roman" w:hAnsi="Times New Roman" w:cs="Times New Roman"/>
          <w:sz w:val="24"/>
          <w:szCs w:val="24"/>
        </w:rPr>
        <w:t>, B., &amp; Main</w:t>
      </w:r>
      <w:r w:rsidRPr="005D6C98">
        <w:rPr>
          <w:rFonts w:ascii="Times New Roman" w:hAnsi="Times New Roman" w:cs="Times New Roman"/>
          <w:sz w:val="24"/>
          <w:szCs w:val="24"/>
        </w:rPr>
        <w:t>, L. (2015).</w:t>
      </w:r>
      <w:proofErr w:type="gramEnd"/>
      <w:r w:rsidRPr="005D6C98">
        <w:rPr>
          <w:rFonts w:ascii="Times New Roman" w:hAnsi="Times New Roman" w:cs="Times New Roman"/>
          <w:sz w:val="24"/>
          <w:szCs w:val="24"/>
        </w:rPr>
        <w:t xml:space="preserve"> Effects of work-related </w:t>
      </w:r>
    </w:p>
    <w:p w:rsidR="005D6C98" w:rsidRDefault="005D6C98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6C98">
        <w:rPr>
          <w:rFonts w:ascii="Times New Roman" w:hAnsi="Times New Roman" w:cs="Times New Roman"/>
          <w:sz w:val="24"/>
          <w:szCs w:val="24"/>
        </w:rPr>
        <w:t>sleep</w:t>
      </w:r>
      <w:proofErr w:type="gramEnd"/>
      <w:r w:rsidRPr="005D6C98">
        <w:rPr>
          <w:rFonts w:ascii="Times New Roman" w:hAnsi="Times New Roman" w:cs="Times New Roman"/>
          <w:sz w:val="24"/>
          <w:szCs w:val="24"/>
        </w:rPr>
        <w:t xml:space="preserve"> restriction on acute physiological and psychological stress responses and their </w:t>
      </w:r>
    </w:p>
    <w:p w:rsidR="005D6C98" w:rsidRPr="005D6C98" w:rsidRDefault="005D6C98" w:rsidP="00453D27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6C98">
        <w:rPr>
          <w:rFonts w:ascii="Times New Roman" w:hAnsi="Times New Roman" w:cs="Times New Roman"/>
          <w:sz w:val="24"/>
          <w:szCs w:val="24"/>
        </w:rPr>
        <w:t>interactions</w:t>
      </w:r>
      <w:proofErr w:type="gramEnd"/>
      <w:r w:rsidRPr="005D6C98">
        <w:rPr>
          <w:rFonts w:ascii="Times New Roman" w:hAnsi="Times New Roman" w:cs="Times New Roman"/>
          <w:sz w:val="24"/>
          <w:szCs w:val="24"/>
        </w:rPr>
        <w:t>: A review among emergency service pe</w:t>
      </w:r>
      <w:r>
        <w:rPr>
          <w:rFonts w:ascii="Times New Roman" w:hAnsi="Times New Roman" w:cs="Times New Roman"/>
          <w:sz w:val="24"/>
          <w:szCs w:val="24"/>
        </w:rPr>
        <w:t xml:space="preserve">rsonnel. </w:t>
      </w:r>
      <w:r w:rsidRPr="005D6C98">
        <w:rPr>
          <w:rFonts w:ascii="Times New Roman" w:hAnsi="Times New Roman" w:cs="Times New Roman"/>
          <w:i/>
          <w:sz w:val="24"/>
          <w:szCs w:val="24"/>
        </w:rPr>
        <w:t xml:space="preserve">International Journal of </w:t>
      </w:r>
    </w:p>
    <w:p w:rsidR="005D6C98" w:rsidRDefault="005D6C98" w:rsidP="008D2E1F">
      <w:p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D6C98">
        <w:rPr>
          <w:rFonts w:ascii="Times New Roman" w:hAnsi="Times New Roman" w:cs="Times New Roman"/>
          <w:i/>
          <w:sz w:val="24"/>
          <w:szCs w:val="24"/>
        </w:rPr>
        <w:t>Occupational Medicine &amp; Environmental Health, 28</w:t>
      </w:r>
      <w:r w:rsidRPr="005D6C98">
        <w:rPr>
          <w:rFonts w:ascii="Times New Roman" w:hAnsi="Times New Roman" w:cs="Times New Roman"/>
          <w:sz w:val="24"/>
          <w:szCs w:val="24"/>
        </w:rPr>
        <w:t>(2), 183-208 26p.</w:t>
      </w:r>
      <w:proofErr w:type="gramEnd"/>
      <w:r w:rsidRPr="005D6C98">
        <w:rPr>
          <w:rFonts w:ascii="Times New Roman" w:hAnsi="Times New Roman" w:cs="Times New Roman"/>
          <w:sz w:val="24"/>
          <w:szCs w:val="24"/>
        </w:rPr>
        <w:t xml:space="preserve"> doi:10.13075/ijomeh.1896.00227</w:t>
      </w:r>
    </w:p>
    <w:p w:rsid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56E9">
        <w:rPr>
          <w:rFonts w:ascii="Times New Roman" w:hAnsi="Times New Roman" w:cs="Times New Roman"/>
          <w:sz w:val="24"/>
          <w:szCs w:val="24"/>
        </w:rPr>
        <w:t>Yildizoglu</w:t>
      </w:r>
      <w:proofErr w:type="spellEnd"/>
      <w:r w:rsidRPr="00DF56E9"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 w:rsidRPr="00DF56E9">
        <w:rPr>
          <w:rFonts w:ascii="Times New Roman" w:hAnsi="Times New Roman" w:cs="Times New Roman"/>
          <w:sz w:val="24"/>
          <w:szCs w:val="24"/>
        </w:rPr>
        <w:t>Polat</w:t>
      </w:r>
      <w:proofErr w:type="spellEnd"/>
      <w:r w:rsidRPr="00DF56E9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DF56E9">
        <w:rPr>
          <w:rFonts w:ascii="Times New Roman" w:hAnsi="Times New Roman" w:cs="Times New Roman"/>
          <w:sz w:val="24"/>
          <w:szCs w:val="24"/>
        </w:rPr>
        <w:t>Gumral</w:t>
      </w:r>
      <w:proofErr w:type="spellEnd"/>
      <w:r w:rsidRPr="00DF56E9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DF56E9">
        <w:rPr>
          <w:rFonts w:ascii="Times New Roman" w:hAnsi="Times New Roman" w:cs="Times New Roman"/>
          <w:sz w:val="24"/>
          <w:szCs w:val="24"/>
        </w:rPr>
        <w:t>Kilic</w:t>
      </w:r>
      <w:proofErr w:type="spellEnd"/>
      <w:r w:rsidRPr="00DF56E9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F56E9">
        <w:rPr>
          <w:rFonts w:ascii="Times New Roman" w:hAnsi="Times New Roman" w:cs="Times New Roman"/>
          <w:sz w:val="24"/>
          <w:szCs w:val="24"/>
        </w:rPr>
        <w:t>Tosun</w:t>
      </w:r>
      <w:proofErr w:type="spellEnd"/>
      <w:r w:rsidRPr="00DF56E9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DF56E9">
        <w:rPr>
          <w:rFonts w:ascii="Times New Roman" w:hAnsi="Times New Roman" w:cs="Times New Roman"/>
          <w:sz w:val="24"/>
          <w:szCs w:val="24"/>
        </w:rPr>
        <w:t>Gerek</w:t>
      </w:r>
      <w:proofErr w:type="spellEnd"/>
      <w:r w:rsidRPr="00DF56E9">
        <w:rPr>
          <w:rFonts w:ascii="Times New Roman" w:hAnsi="Times New Roman" w:cs="Times New Roman"/>
          <w:sz w:val="24"/>
          <w:szCs w:val="24"/>
        </w:rPr>
        <w:t>, M. (2015).</w:t>
      </w:r>
      <w:proofErr w:type="gramEnd"/>
      <w:r w:rsidRPr="00DF56E9">
        <w:rPr>
          <w:rFonts w:ascii="Times New Roman" w:hAnsi="Times New Roman" w:cs="Times New Roman"/>
          <w:sz w:val="24"/>
          <w:szCs w:val="24"/>
        </w:rPr>
        <w:t xml:space="preserve"> Effect of </w:t>
      </w:r>
    </w:p>
    <w:p w:rsid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56E9">
        <w:rPr>
          <w:rFonts w:ascii="Times New Roman" w:hAnsi="Times New Roman" w:cs="Times New Roman"/>
          <w:sz w:val="24"/>
          <w:szCs w:val="24"/>
        </w:rPr>
        <w:t>antibiotic</w:t>
      </w:r>
      <w:proofErr w:type="gramEnd"/>
      <w:r w:rsidRPr="00DF56E9">
        <w:rPr>
          <w:rFonts w:ascii="Times New Roman" w:hAnsi="Times New Roman" w:cs="Times New Roman"/>
          <w:sz w:val="24"/>
          <w:szCs w:val="24"/>
        </w:rPr>
        <w:t xml:space="preserve"> use on bacterial flora of tonsil core in patients with recurrent tonsillitis. </w:t>
      </w:r>
    </w:p>
    <w:p w:rsidR="00DF56E9" w:rsidRP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FCA">
        <w:rPr>
          <w:rFonts w:ascii="Times New Roman" w:hAnsi="Times New Roman" w:cs="Times New Roman"/>
          <w:i/>
          <w:sz w:val="24"/>
          <w:szCs w:val="24"/>
        </w:rPr>
        <w:t>European Archives o</w:t>
      </w:r>
      <w:r w:rsidRPr="00DF56E9">
        <w:rPr>
          <w:rFonts w:ascii="Times New Roman" w:hAnsi="Times New Roman" w:cs="Times New Roman"/>
          <w:i/>
          <w:sz w:val="24"/>
          <w:szCs w:val="24"/>
        </w:rPr>
        <w:t>f Oto-Rhino</w:t>
      </w:r>
      <w:r w:rsidR="008D2E1F">
        <w:rPr>
          <w:rFonts w:ascii="Times New Roman" w:hAnsi="Times New Roman" w:cs="Times New Roman"/>
          <w:i/>
          <w:sz w:val="24"/>
          <w:szCs w:val="24"/>
        </w:rPr>
        <w:t>-Laryngology: Official Journal o</w:t>
      </w:r>
      <w:r w:rsidRPr="00DF56E9">
        <w:rPr>
          <w:rFonts w:ascii="Times New Roman" w:hAnsi="Times New Roman" w:cs="Times New Roman"/>
          <w:i/>
          <w:sz w:val="24"/>
          <w:szCs w:val="24"/>
        </w:rPr>
        <w:t xml:space="preserve">f </w:t>
      </w:r>
      <w:proofErr w:type="gramStart"/>
      <w:r w:rsidRPr="00DF56E9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F56E9">
        <w:rPr>
          <w:rFonts w:ascii="Times New Roman" w:hAnsi="Times New Roman" w:cs="Times New Roman"/>
          <w:i/>
          <w:sz w:val="24"/>
          <w:szCs w:val="24"/>
        </w:rPr>
        <w:t xml:space="preserve"> European </w:t>
      </w:r>
    </w:p>
    <w:p w:rsidR="00DF56E9" w:rsidRP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F56E9">
        <w:rPr>
          <w:rFonts w:ascii="Times New Roman" w:hAnsi="Times New Roman" w:cs="Times New Roman"/>
          <w:i/>
          <w:sz w:val="24"/>
          <w:szCs w:val="24"/>
        </w:rPr>
        <w:tab/>
      </w:r>
      <w:r w:rsidR="00963FCA">
        <w:rPr>
          <w:rFonts w:ascii="Times New Roman" w:hAnsi="Times New Roman" w:cs="Times New Roman"/>
          <w:i/>
          <w:sz w:val="24"/>
          <w:szCs w:val="24"/>
        </w:rPr>
        <w:t>Federation o</w:t>
      </w:r>
      <w:r w:rsidRPr="00DF56E9">
        <w:rPr>
          <w:rFonts w:ascii="Times New Roman" w:hAnsi="Times New Roman" w:cs="Times New Roman"/>
          <w:i/>
          <w:sz w:val="24"/>
          <w:szCs w:val="24"/>
        </w:rPr>
        <w:t xml:space="preserve">f Oto-Rhino-Laryngological Societies (EUFOS): Affiliated With The </w:t>
      </w:r>
    </w:p>
    <w:p w:rsid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56E9">
        <w:rPr>
          <w:rFonts w:ascii="Times New Roman" w:hAnsi="Times New Roman" w:cs="Times New Roman"/>
          <w:i/>
          <w:sz w:val="24"/>
          <w:szCs w:val="24"/>
        </w:rPr>
        <w:tab/>
      </w:r>
      <w:r w:rsidR="00963FCA">
        <w:rPr>
          <w:rFonts w:ascii="Times New Roman" w:hAnsi="Times New Roman" w:cs="Times New Roman"/>
          <w:i/>
          <w:sz w:val="24"/>
          <w:szCs w:val="24"/>
        </w:rPr>
        <w:t>German Society f</w:t>
      </w:r>
      <w:r w:rsidRPr="00DF56E9">
        <w:rPr>
          <w:rFonts w:ascii="Times New Roman" w:hAnsi="Times New Roman" w:cs="Times New Roman"/>
          <w:i/>
          <w:sz w:val="24"/>
          <w:szCs w:val="24"/>
        </w:rPr>
        <w:t>o</w:t>
      </w:r>
      <w:r w:rsidR="008D2E1F">
        <w:rPr>
          <w:rFonts w:ascii="Times New Roman" w:hAnsi="Times New Roman" w:cs="Times New Roman"/>
          <w:i/>
          <w:sz w:val="24"/>
          <w:szCs w:val="24"/>
        </w:rPr>
        <w:t>r Oto-Rhino-Laryngology - Head a</w:t>
      </w:r>
      <w:r w:rsidRPr="00DF56E9">
        <w:rPr>
          <w:rFonts w:ascii="Times New Roman" w:hAnsi="Times New Roman" w:cs="Times New Roman"/>
          <w:i/>
          <w:sz w:val="24"/>
          <w:szCs w:val="24"/>
        </w:rPr>
        <w:t>nd Neck Surgery, 272</w:t>
      </w:r>
      <w:r w:rsidRPr="00DF56E9">
        <w:rPr>
          <w:rFonts w:ascii="Times New Roman" w:hAnsi="Times New Roman" w:cs="Times New Roman"/>
          <w:sz w:val="24"/>
          <w:szCs w:val="24"/>
        </w:rPr>
        <w:t>(6), 1525-</w:t>
      </w:r>
    </w:p>
    <w:p w:rsid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56E9">
        <w:rPr>
          <w:rFonts w:ascii="Times New Roman" w:hAnsi="Times New Roman" w:cs="Times New Roman"/>
          <w:sz w:val="24"/>
          <w:szCs w:val="24"/>
        </w:rPr>
        <w:t xml:space="preserve">1528. </w:t>
      </w:r>
      <w:proofErr w:type="gramStart"/>
      <w:r w:rsidRPr="00DF56E9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DF56E9">
        <w:rPr>
          <w:rFonts w:ascii="Times New Roman" w:hAnsi="Times New Roman" w:cs="Times New Roman"/>
          <w:sz w:val="24"/>
          <w:szCs w:val="24"/>
        </w:rPr>
        <w:t>10.1007/s00405-014-3434-3</w:t>
      </w:r>
    </w:p>
    <w:p w:rsidR="00DF56E9" w:rsidRDefault="00DF5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56E9" w:rsidRPr="00DF56E9" w:rsidRDefault="00DF56E9" w:rsidP="00DF56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F56E9">
        <w:rPr>
          <w:rFonts w:ascii="Arial" w:eastAsia="Times New Roman" w:hAnsi="Arial" w:cs="Arial"/>
          <w:b/>
          <w:sz w:val="20"/>
          <w:szCs w:val="20"/>
        </w:rPr>
        <w:lastRenderedPageBreak/>
        <w:t>Walden University M.S. in Nursing</w:t>
      </w:r>
    </w:p>
    <w:p w:rsidR="00DF56E9" w:rsidRPr="00DF56E9" w:rsidRDefault="00DF56E9" w:rsidP="00DF56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F56E9">
        <w:rPr>
          <w:rFonts w:ascii="Arial" w:eastAsia="Times New Roman" w:hAnsi="Arial" w:cs="Arial"/>
          <w:b/>
          <w:sz w:val="20"/>
          <w:szCs w:val="20"/>
        </w:rPr>
        <w:t>Formative Evaluation Criteria for Applications and Formal Papers</w:t>
      </w:r>
    </w:p>
    <w:p w:rsidR="00DF56E9" w:rsidRPr="00DF56E9" w:rsidRDefault="00DF56E9" w:rsidP="00DF56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29"/>
        <w:gridCol w:w="610"/>
        <w:gridCol w:w="899"/>
      </w:tblGrid>
      <w:tr w:rsidR="00DF56E9" w:rsidRPr="00DF56E9" w:rsidTr="00896089">
        <w:tc>
          <w:tcPr>
            <w:tcW w:w="80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>Categories and Criteria</w:t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>Points</w:t>
            </w:r>
          </w:p>
        </w:tc>
      </w:tr>
      <w:tr w:rsidR="00DF56E9" w:rsidRPr="00DF56E9" w:rsidTr="00896089">
        <w:tc>
          <w:tcPr>
            <w:tcW w:w="9576" w:type="dxa"/>
            <w:gridSpan w:val="4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QUALITY OF WORK SUBMITTED </w:t>
            </w:r>
            <w:r w:rsidRPr="00DF56E9">
              <w:rPr>
                <w:rFonts w:ascii="Arial" w:eastAsia="Times New Roman" w:hAnsi="Arial" w:cs="Arial"/>
                <w:bCs/>
                <w:sz w:val="20"/>
                <w:szCs w:val="20"/>
              </w:rPr>
              <w:t>- 35 Possible Points</w:t>
            </w:r>
          </w:p>
        </w:tc>
      </w:tr>
      <w:tr w:rsidR="00DF56E9" w:rsidRPr="00DF56E9" w:rsidTr="00896089">
        <w:tc>
          <w:tcPr>
            <w:tcW w:w="9576" w:type="dxa"/>
            <w:gridSpan w:val="4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1. The extent to which work meets the assigned criteria and </w:t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>work reflects graduate level critical and analytic thinking</w:t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(0-30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Assignment </w:t>
            </w:r>
            <w:r w:rsidRPr="00DF56E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exceeds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 expectations. All topics are addressed with a minimum of 75% containing </w:t>
            </w:r>
            <w:r w:rsidRPr="00DF56E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exceptional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 breadth and depth about </w:t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each 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of the assignment topics.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25-30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Assignment meets expectations. All topics are addressed with a minimum of 50% containing </w:t>
            </w:r>
            <w:r w:rsidRPr="00DF56E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good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 breadth and depth about </w:t>
            </w:r>
            <w:r w:rsidRPr="00DF56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each 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of the assignment topics.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20-24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Assignment meets most of the expectations. One required topic is either not addressed or inadequately addressed.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16-19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Assignment superficially meets some of the expectations. Two or more required topics are either not addressed or inadequately addressed.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0-15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9576" w:type="dxa"/>
            <w:gridSpan w:val="4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2. Purpose of the paper is clear</w:t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(0-5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A clear and comprehensive purpose statement is provided which delineates all required criteria.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Purpose of the assignment is stated, yet is brief and not descriptive. 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Purpose of the assignment is vague.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1-3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No purpose statement was provided.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right w:val="nil"/>
            </w:tcBorders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ASSIMILATION AND SYNTHESIS OF IDEAS - 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50 Possible Points</w:t>
            </w:r>
          </w:p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The extent to which the work reflects the student’s ability to- </w:t>
            </w:r>
          </w:p>
        </w:tc>
        <w:tc>
          <w:tcPr>
            <w:tcW w:w="7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9576" w:type="dxa"/>
            <w:gridSpan w:val="4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>1. Understand and interpret the assignment’s key concepts</w:t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  <w:t>(0-10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Demonstrates the ability to critically appraise and intellectually explore key concepts.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9-10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Demonstrates a clear understanding of key concepts.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Shows some degree of understanding of key concepts.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5-7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Shows a lack of understanding of key concepts, deviates from topics.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0-4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9576" w:type="dxa"/>
            <w:gridSpan w:val="4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i/>
                <w:sz w:val="20"/>
                <w:szCs w:val="20"/>
                <w:shd w:val="clear" w:color="auto" w:fill="D9D9D9"/>
              </w:rPr>
              <w:t>2. Apply and integrate material in course resources (i.e. video, required readings, and textbook) and credible outside resources</w:t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(0-20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Demonstrates and applies </w:t>
            </w:r>
            <w:r w:rsidRPr="00DF56E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exceptional 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support of major points and integrates 2 or more credible outside sources, in addition to 3-4 course resources to support point of view. 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15-20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Integrates specific information from 1 credible outside resource and 3 to 4 course resources to support major points and point of view.  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10-14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Minimally includes and integrates specific information from 2-3 resources to support major points and point of view.  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3-9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Includes and integrates specific information from 0 to 1 resource to support major points and point of view.  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0-2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9576" w:type="dxa"/>
            <w:gridSpan w:val="4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3. Synthesize (combines various components or different ideas into a new whole) material in course resources (i.e. video, required readings, and textbook) by comparing different points of view and highlighting similarities, differences, and connections.  </w:t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(0-20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Synthesizes and justifies (defends, explains, validates, confirms) information gleaned from sources to support major points presented. Applies meaning to the field of advanced nursing practice. 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18-20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Summarizes information gleaned from sources to support major points, but does not synthesize. 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16-17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Identifies but does not interpret or apply concepts, and/or strategies correctly; ideas unclear and/or underdeveloped.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14-15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 xml:space="preserve">Rarely or does not interpret, apply, and synthesize concepts, and/or strategies. 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0-13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F56E9" w:rsidRPr="00DF56E9" w:rsidRDefault="00DF56E9" w:rsidP="00DF5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F56E9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739"/>
        <w:gridCol w:w="899"/>
      </w:tblGrid>
      <w:tr w:rsidR="00DF56E9" w:rsidRPr="00DF56E9" w:rsidTr="00896089">
        <w:tc>
          <w:tcPr>
            <w:tcW w:w="9576" w:type="dxa"/>
            <w:gridSpan w:val="3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WRITTEN EXPRESSION AND FORMATTING - </w:t>
            </w:r>
            <w:r w:rsidRPr="00DF56E9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15 Possible Points</w:t>
            </w:r>
          </w:p>
        </w:tc>
      </w:tr>
      <w:tr w:rsidR="00DF56E9" w:rsidRPr="00DF56E9" w:rsidTr="00896089">
        <w:tc>
          <w:tcPr>
            <w:tcW w:w="9576" w:type="dxa"/>
            <w:gridSpan w:val="3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1. Paragraph and Sentence Structure: </w:t>
            </w:r>
            <w:r w:rsidRPr="00DF56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Paragraphs make clear points that support well developed ideas, flow logically, and demonstrate continuity of ideas. Sentences are clearly structured and carefully focused--neither long and rambling nor short and lacking substance.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  <w:t>(0-5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Paragraphs and sentences follow writing standards. 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Paragraphs and sentences follow writing standards 80% of the time.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Paragraphs and sentences follow writing standards 70% of the time.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Paragraphs and sentences follow writing standards &lt; 70% of the time.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0-2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9576" w:type="dxa"/>
            <w:gridSpan w:val="3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>2. English writing standards: Correct grammar, mechanics, and proper punctuation</w:t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ab/>
              <w:t>(0-5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Uses correct grammar, spelling, and punctuation with no errors.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Contains a few (1-2) grammar, spelling, and punctuation errors.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Contains several (3-4) grammar, spelling, and punctuation errors. 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Contains many (≥ 5) grammar, spelling, and punctuation errors that interfere with the reader’s understanding. 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0-2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9576" w:type="dxa"/>
            <w:gridSpan w:val="3"/>
            <w:shd w:val="clear" w:color="auto" w:fill="D9D9D9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3. The paper follows correct APA format for title page, headings, font, spacing,</w:t>
            </w:r>
            <w:r w:rsidRPr="00DF56E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 </w:t>
            </w:r>
            <w:r w:rsidRPr="00DF56E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margins, indentations, page numbers, running head, p</w:t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>arenthetical/in-text citations, and reference list</w:t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(0-5 Points)</w:t>
            </w: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Uses correct APA format </w:t>
            </w:r>
            <w:r w:rsidRPr="00DF56E9">
              <w:rPr>
                <w:rFonts w:ascii="Arial" w:eastAsia="Times New Roman" w:hAnsi="Arial" w:cs="Arial"/>
                <w:color w:val="101010"/>
                <w:spacing w:val="-2"/>
                <w:sz w:val="20"/>
                <w:szCs w:val="20"/>
                <w:shd w:val="clear" w:color="auto" w:fill="FFFFFF"/>
              </w:rPr>
              <w:t>with no errors.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Contains a few (1-2)</w:t>
            </w:r>
            <w:r w:rsidRPr="00DF56E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APA format errors.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Contains several (3-4) </w:t>
            </w:r>
            <w:r w:rsidRPr="00DF56E9">
              <w:rPr>
                <w:rFonts w:ascii="Arial" w:eastAsia="Times New Roman" w:hAnsi="Arial" w:cs="Arial"/>
                <w:bCs/>
                <w:sz w:val="20"/>
                <w:szCs w:val="20"/>
              </w:rPr>
              <w:t>APA format errors.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Contains many (≥ 5) APA format errors. 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0-2</w:t>
            </w:r>
          </w:p>
        </w:tc>
        <w:tc>
          <w:tcPr>
            <w:tcW w:w="899" w:type="dxa"/>
            <w:vMerge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56E9" w:rsidRPr="00DF56E9" w:rsidTr="00896089">
        <w:tc>
          <w:tcPr>
            <w:tcW w:w="7938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F56E9">
              <w:rPr>
                <w:rFonts w:ascii="Arial" w:eastAsia="Times New Roman" w:hAnsi="Arial" w:cs="Arial"/>
                <w:sz w:val="20"/>
                <w:szCs w:val="20"/>
              </w:rPr>
              <w:t>Total Points for Assignment:</w:t>
            </w:r>
          </w:p>
        </w:tc>
        <w:tc>
          <w:tcPr>
            <w:tcW w:w="73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:rsidR="00DF56E9" w:rsidRPr="00DF56E9" w:rsidRDefault="00DF56E9" w:rsidP="00DF5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F56E9" w:rsidRDefault="00DF56E9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1FD8" w:rsidRPr="00453D27" w:rsidRDefault="00C41FD8" w:rsidP="00453D2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41FD8" w:rsidRPr="00453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043"/>
    <w:multiLevelType w:val="hybridMultilevel"/>
    <w:tmpl w:val="ECD2DE8E"/>
    <w:lvl w:ilvl="0" w:tplc="09D8F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28"/>
    <w:rsid w:val="000638D5"/>
    <w:rsid w:val="0012714D"/>
    <w:rsid w:val="001409AD"/>
    <w:rsid w:val="001640C3"/>
    <w:rsid w:val="001C1912"/>
    <w:rsid w:val="00251933"/>
    <w:rsid w:val="003E3834"/>
    <w:rsid w:val="00453D27"/>
    <w:rsid w:val="0051399F"/>
    <w:rsid w:val="00584431"/>
    <w:rsid w:val="005C564C"/>
    <w:rsid w:val="005D6C98"/>
    <w:rsid w:val="006C3395"/>
    <w:rsid w:val="00767021"/>
    <w:rsid w:val="007C7928"/>
    <w:rsid w:val="007E5BEE"/>
    <w:rsid w:val="008D2E1F"/>
    <w:rsid w:val="00921FBA"/>
    <w:rsid w:val="00954F2B"/>
    <w:rsid w:val="00963FCA"/>
    <w:rsid w:val="009B4D58"/>
    <w:rsid w:val="009C65DD"/>
    <w:rsid w:val="00B46550"/>
    <w:rsid w:val="00BE54BE"/>
    <w:rsid w:val="00C41FD8"/>
    <w:rsid w:val="00C4288F"/>
    <w:rsid w:val="00C65605"/>
    <w:rsid w:val="00CD10E3"/>
    <w:rsid w:val="00D46087"/>
    <w:rsid w:val="00D46119"/>
    <w:rsid w:val="00D55FBE"/>
    <w:rsid w:val="00DF56E9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9159-3AB3-478E-AAE9-C325D838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B. Stansbury</dc:creator>
  <cp:lastModifiedBy>Erin B. Stansbury</cp:lastModifiedBy>
  <cp:revision>17</cp:revision>
  <dcterms:created xsi:type="dcterms:W3CDTF">2016-06-01T06:20:00Z</dcterms:created>
  <dcterms:modified xsi:type="dcterms:W3CDTF">2016-06-09T03:47:00Z</dcterms:modified>
</cp:coreProperties>
</file>